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AML и санкционная политика</w:t>
      </w:r>
    </w:p>
    <w:p>
      <w:r>
        <w:t xml:space="preserve"/>
      </w:r>
    </w:p>
    <w:p>
      <w:r>
        <w:t xml:space="preserve">Дата публикации: 14.07.2026</w:t>
      </w:r>
    </w:p>
    <w:p>
      <w:r>
        <w:t xml:space="preserve"/>
      </w:r>
    </w:p>
    <w:p>
      <w:pPr>
        <w:pStyle w:val="Heading1"/>
      </w:pPr>
      <w:r>
        <w:t xml:space="preserve">1. Цель</w:t>
      </w:r>
    </w:p>
    <w:p>
      <w:r>
        <w:t xml:space="preserve"/>
      </w:r>
    </w:p>
    <w:p>
      <w:r>
        <w:t xml:space="preserve">Эта Политика устанавливает базовые правила предотвращения использования datio для отмывания средств, финансирования терроризма, обхода санкций, мошенничества и иной незаконной деятельности.</w:t>
      </w:r>
    </w:p>
    <w:p>
      <w:r>
        <w:t xml:space="preserve"/>
      </w:r>
    </w:p>
    <w:p>
      <w:pPr>
        <w:pStyle w:val="Heading1"/>
      </w:pPr>
      <w:r>
        <w:t xml:space="preserve">2. Запрещенные пользователи и операции</w:t>
      </w:r>
    </w:p>
    <w:p>
      <w:r>
        <w:t xml:space="preserve"/>
      </w:r>
    </w:p>
    <w:p>
      <w:r>
        <w:t xml:space="preserve">Запрещено использовать Сервис, если пользователь, автор кампании, получатель средств или связанное лицо:</w:t>
      </w:r>
    </w:p>
    <w:p>
      <w:r>
        <w:t xml:space="preserve"/>
      </w:r>
    </w:p>
    <w:p>
      <w:r>
        <w:t xml:space="preserve">• находится под санкциями OFAC, EU, UN, UK или иных применимых санкционных режимов;</w:t>
      </w:r>
    </w:p>
    <w:p>
      <w:r>
        <w:t xml:space="preserve">• действует из юрисдикции, запрещенной применимым правом или правилами доступа к Сервису;</w:t>
      </w:r>
    </w:p>
    <w:p>
      <w:r>
        <w:t xml:space="preserve">• использует средства преступного происхождения;</w:t>
      </w:r>
    </w:p>
    <w:p>
      <w:r>
        <w:t xml:space="preserve">• связан с терроризмом, экстремизмом, незаконным оборотом, мошенничеством, ransomware, mixers/tumblers, darknet markets или обходом санкций;</w:t>
      </w:r>
    </w:p>
    <w:p>
      <w:r>
        <w:t xml:space="preserve">• пытается скрыть происхождение средств или конечного выгодоприобретателя.</w:t>
      </w:r>
    </w:p>
    <w:p>
      <w:r>
        <w:t xml:space="preserve"/>
      </w:r>
    </w:p>
    <w:p>
      <w:pPr>
        <w:pStyle w:val="Heading1"/>
      </w:pPr>
      <w:r>
        <w:t xml:space="preserve">3. Проверки</w:t>
      </w:r>
    </w:p>
    <w:p>
      <w:r>
        <w:t xml:space="preserve"/>
      </w:r>
    </w:p>
    <w:p>
      <w:r>
        <w:t xml:space="preserve">Оператор может проводить проверки кампаний, адресов кошельков, транзакций, авторов кампаний и получателей средств. Проверки могут включать:</w:t>
      </w:r>
    </w:p>
    <w:p>
      <w:r>
        <w:t xml:space="preserve"/>
      </w:r>
    </w:p>
    <w:p>
      <w:r>
        <w:t xml:space="preserve">• анализ публичных on-chain данных;</w:t>
      </w:r>
    </w:p>
    <w:p>
      <w:r>
        <w:t xml:space="preserve">• проверку санкционных списков;</w:t>
      </w:r>
    </w:p>
    <w:p>
      <w:r>
        <w:t xml:space="preserve">• запрос документов и пояснений;</w:t>
      </w:r>
    </w:p>
    <w:p>
      <w:r>
        <w:t xml:space="preserve">• проверку источника средств или цели кампании;</w:t>
      </w:r>
    </w:p>
    <w:p>
      <w:r>
        <w:t xml:space="preserve">• использование сторонних AML/anti-fraud инструментов.</w:t>
      </w:r>
    </w:p>
    <w:p>
      <w:r>
        <w:t xml:space="preserve"/>
      </w:r>
    </w:p>
    <w:p>
      <w:pPr>
        <w:pStyle w:val="Heading1"/>
      </w:pPr>
      <w:r>
        <w:t xml:space="preserve">4. Меры реагирования</w:t>
      </w:r>
    </w:p>
    <w:p>
      <w:r>
        <w:t xml:space="preserve"/>
      </w:r>
    </w:p>
    <w:p>
      <w:r>
        <w:t xml:space="preserve">При выявлении риска Оператор может:</w:t>
      </w:r>
    </w:p>
    <w:p>
      <w:r>
        <w:t xml:space="preserve"/>
      </w:r>
    </w:p>
    <w:p>
      <w:r>
        <w:t xml:space="preserve">• отказать в публикации или продвижении кампании;</w:t>
      </w:r>
    </w:p>
    <w:p>
      <w:r>
        <w:t xml:space="preserve">• скрыть кампанию из интерфейса;</w:t>
      </w:r>
    </w:p>
    <w:p>
      <w:r>
        <w:t xml:space="preserve">• приостановить кампанию доступными on-chain механизмами;</w:t>
      </w:r>
    </w:p>
    <w:p>
      <w:r>
        <w:t xml:space="preserve">• отказать в поддержке операции через интерфейс;</w:t>
      </w:r>
    </w:p>
    <w:p>
      <w:r>
        <w:t xml:space="preserve">• запросить дополнительные сведения;</w:t>
      </w:r>
    </w:p>
    <w:p>
      <w:r>
        <w:t xml:space="preserve">• сообщить о подозрительной активности компетентным органам, если это требуется законом;</w:t>
      </w:r>
    </w:p>
    <w:p>
      <w:r>
        <w:t xml:space="preserve">• принять иные меры для защиты пользователей и соблюдения закона.</w:t>
      </w:r>
    </w:p>
    <w:p>
      <w:r>
        <w:t xml:space="preserve"/>
      </w:r>
    </w:p>
    <w:p>
      <w:pPr>
        <w:pStyle w:val="Heading1"/>
      </w:pPr>
      <w:r>
        <w:t xml:space="preserve">5. Ограничения Web3</w:t>
      </w:r>
    </w:p>
    <w:p>
      <w:r>
        <w:t xml:space="preserve"/>
      </w:r>
    </w:p>
    <w:p>
      <w:r>
        <w:t xml:space="preserve">Оператор может контролировать собственный интерфейс, модерацию и доступные административные функции, но не всегда может остановить прямое взаимодействие пользователя с публичным смарт-контрактом вне интерфейса.</w:t>
      </w:r>
    </w:p>
    <w:p>
      <w:r>
        <w:t xml:space="preserve"/>
      </w:r>
    </w:p>
    <w:p>
      <w:pPr>
        <w:pStyle w:val="Heading1"/>
      </w:pPr>
      <w:r>
        <w:t xml:space="preserve">6. Обязанности пользователя</w:t>
      </w:r>
    </w:p>
    <w:p>
      <w:r>
        <w:t xml:space="preserve"/>
      </w:r>
    </w:p>
    <w:p>
      <w:r>
        <w:t xml:space="preserve">Пользователь подтверждает, что:</w:t>
      </w:r>
    </w:p>
    <w:p>
      <w:r>
        <w:t xml:space="preserve"/>
      </w:r>
    </w:p>
    <w:p>
      <w:r>
        <w:t xml:space="preserve">• использует Сервис законно;</w:t>
      </w:r>
    </w:p>
    <w:p>
      <w:r>
        <w:t xml:space="preserve">• не находится под санкциями;</w:t>
      </w:r>
    </w:p>
    <w:p>
      <w:r>
        <w:t xml:space="preserve">• не действует от имени санкционного или запрещенного лица;</w:t>
      </w:r>
    </w:p>
    <w:p>
      <w:r>
        <w:t xml:space="preserve">• средства имеют законное происхождение;</w:t>
      </w:r>
    </w:p>
    <w:p>
      <w:r>
        <w:t xml:space="preserve">• предоставленная информация является достоверной;</w:t>
      </w:r>
    </w:p>
    <w:p>
      <w:r>
        <w:t xml:space="preserve">• пользователь уведомит Оператора, если обстоятельства изменятся.</w:t>
      </w:r>
    </w:p>
    <w:p>
      <w:r>
        <w:t xml:space="preserve"/>
      </w:r>
    </w:p>
    <w:p>
      <w:pPr>
        <w:pStyle w:val="Heading1"/>
      </w:pPr>
      <w:r>
        <w:t xml:space="preserve">7. Контакты</w:t>
      </w:r>
    </w:p>
    <w:p>
      <w:r>
        <w:t xml:space="preserve"/>
      </w:r>
    </w:p>
    <w:p>
      <w:r>
        <w:t xml:space="preserve">Сообщения о подозрительных кампаниях или операциях направляйте на datio_ETH@proton.me.</w:t>
      </w:r>
    </w:p>
    <w:p>
      <w:r>
        <w:t xml:space="preserve"/>
      </w:r>
    </w:p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40"/>
    </w:rPr>
  </w:style>
  <w:style w:type="paragraph" w:styleId="Heading1">
    <w:name w:val="heading 1"/>
    <w:rPr>
      <w:b/>
      <w:sz w:val="32"/>
    </w:rPr>
  </w:style>
  <w:style w:type="paragraph" w:styleId="Heading2">
    <w:name w:val="heading 2"/>
    <w:rPr>
      <w:b/>
      <w:sz w:val="28"/>
    </w:rPr>
  </w:style>
</w:styles>
</file>