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Политика пожертвований, выводов и возвратов</w:t>
      </w:r>
    </w:p>
    <w:p>
      <w:r>
        <w:t xml:space="preserve"/>
      </w:r>
    </w:p>
    <w:p>
      <w:r>
        <w:t xml:space="preserve">Дата публикации: 14.07.2026</w:t>
      </w:r>
    </w:p>
    <w:p>
      <w:r>
        <w:t xml:space="preserve"/>
      </w:r>
    </w:p>
    <w:p>
      <w:pPr>
        <w:pStyle w:val="Heading1"/>
      </w:pPr>
      <w:r>
        <w:t xml:space="preserve">1. Общие положения</w:t>
      </w:r>
    </w:p>
    <w:p>
      <w:r>
        <w:t xml:space="preserve"/>
      </w:r>
    </w:p>
    <w:p>
      <w:r>
        <w:t xml:space="preserve">Эта Политика описывает порядок пожертвований, выводов средств авторами кампаний, комиссии Сервиса и возвратов в datio. Политика применяется вместе с Пользовательским соглашением, Политикой конфиденциальности и фактической логикой смарт-контракта.</w:t>
      </w:r>
    </w:p>
    <w:p>
      <w:r>
        <w:t xml:space="preserve"/>
      </w:r>
    </w:p>
    <w:p>
      <w:r>
        <w:t xml:space="preserve">Если текст Политики расходится с неизменяемой логикой уже задеплоенного смарт-контракта, on-chain исполнение определяется кодом смарт-контракта.</w:t>
      </w:r>
    </w:p>
    <w:p>
      <w:r>
        <w:t xml:space="preserve"/>
      </w:r>
    </w:p>
    <w:p>
      <w:pPr>
        <w:pStyle w:val="Heading1"/>
      </w:pPr>
      <w:r>
        <w:t xml:space="preserve">2. Пожертвования</w:t>
      </w:r>
    </w:p>
    <w:p>
      <w:r>
        <w:t xml:space="preserve"/>
      </w:r>
    </w:p>
    <w:p>
      <w:r>
        <w:t xml:space="preserve">Пожертвование совершается пользователем добровольно путем отправки транзакции в поддерживаемой сети на смарт-контракт Сервиса.</w:t>
      </w:r>
    </w:p>
    <w:p>
      <w:r>
        <w:t xml:space="preserve"/>
      </w:r>
    </w:p>
    <w:p>
      <w:r>
        <w:t xml:space="preserve">Перед отправкой пользователь обязан проверить:</w:t>
      </w:r>
    </w:p>
    <w:p>
      <w:r>
        <w:t xml:space="preserve"/>
      </w:r>
    </w:p>
    <w:p>
      <w:r>
        <w:t xml:space="preserve">• адрес смарт-контракта: 0xB302Ef8aaCC32821AdcfdBFf1442d1c9Eb8bcE9F;</w:t>
      </w:r>
    </w:p>
    <w:p>
      <w:r>
        <w:t xml:space="preserve">• сеть: Ethereum (ETH), Chain ID: 1;</w:t>
      </w:r>
    </w:p>
    <w:p>
      <w:r>
        <w:t xml:space="preserve">• кампанию и ее ID;</w:t>
      </w:r>
    </w:p>
    <w:p>
      <w:r>
        <w:t xml:space="preserve">• сумму пожертвования;</w:t>
      </w:r>
    </w:p>
    <w:p>
      <w:r>
        <w:t xml:space="preserve">• сетевую комиссию;</w:t>
      </w:r>
    </w:p>
    <w:p>
      <w:r>
        <w:t xml:space="preserve">• статус кампании.</w:t>
      </w:r>
    </w:p>
    <w:p>
      <w:r>
        <w:t xml:space="preserve"/>
      </w:r>
    </w:p>
    <w:p>
      <w:pPr>
        <w:pStyle w:val="Heading1"/>
      </w:pPr>
      <w:r>
        <w:t xml:space="preserve">3. Статусы кампаний</w:t>
      </w:r>
    </w:p>
    <w:p>
      <w:r>
        <w:t xml:space="preserve"/>
      </w:r>
    </w:p>
    <w:p>
      <w:r>
        <w:t xml:space="preserve">Кампания может иметь on-chain статусы:</w:t>
      </w:r>
    </w:p>
    <w:p>
      <w:r>
        <w:t xml:space="preserve"/>
      </w:r>
    </w:p>
    <w:p>
      <w:r>
        <w:t xml:space="preserve">• `Unverified` - создана, но еще не проверена;</w:t>
      </w:r>
    </w:p>
    <w:p>
      <w:r>
        <w:t xml:space="preserve">• `Verified` - проверена и может принимать вывод средств автором по правилам контракта;</w:t>
      </w:r>
    </w:p>
    <w:p>
      <w:r>
        <w:t xml:space="preserve">• `Cancelled` - отменена, доноры могут запросить возврат, если у них есть вклад;</w:t>
      </w:r>
    </w:p>
    <w:p>
      <w:r>
        <w:t xml:space="preserve">• `Completed` - сбор/вывод завершен по правилам контракта.</w:t>
      </w:r>
    </w:p>
    <w:p>
      <w:r>
        <w:t xml:space="preserve"/>
      </w:r>
    </w:p>
    <w:p>
      <w:r>
        <w:t xml:space="preserve">Интерфейс может дополнительно показывать приостановку кампании (`suspendedCampaigns`), если owner временно ограничил действия по кампании.</w:t>
      </w:r>
    </w:p>
    <w:p>
      <w:r>
        <w:t xml:space="preserve"/>
      </w:r>
    </w:p>
    <w:p>
      <w:pPr>
        <w:pStyle w:val="Heading1"/>
      </w:pPr>
      <w:r>
        <w:t xml:space="preserve">4. Вывод средств автором кампании</w:t>
      </w:r>
    </w:p>
    <w:p>
      <w:r>
        <w:t xml:space="preserve"/>
      </w:r>
    </w:p>
    <w:p>
      <w:r>
        <w:t xml:space="preserve">Автор проверенной кампании может вывести доступную сумму через функцию `withdraw(campaignId, amount)`, если кампания не приостановлена и контракт не на паузе.</w:t>
      </w:r>
    </w:p>
    <w:p>
      <w:r>
        <w:t xml:space="preserve"/>
      </w:r>
    </w:p>
    <w:p>
      <w:r>
        <w:t xml:space="preserve">При выводе удерживается комиссия Сервиса 1% от суммы вывода. Автор получает сумму за вычетом комиссии. Комиссия распределяется между держателями долей комиссии согласно смарт-контракту.</w:t>
      </w:r>
    </w:p>
    <w:p>
      <w:r>
        <w:t xml:space="preserve"/>
      </w:r>
    </w:p>
    <w:p>
      <w:pPr>
        <w:pStyle w:val="Heading1"/>
      </w:pPr>
      <w:r>
        <w:t xml:space="preserve">5. Комиссия Сервиса</w:t>
      </w:r>
    </w:p>
    <w:p>
      <w:r>
        <w:t xml:space="preserve"/>
      </w:r>
    </w:p>
    <w:p>
      <w:r>
        <w:t xml:space="preserve">Комиссия составляет 1%, если иное не указано в опубликованном коде контракта или интерфейсе. Комиссия не является пожертвованием кампании и не принадлежит автору кампании.</w:t>
      </w:r>
    </w:p>
    <w:p>
      <w:r>
        <w:t xml:space="preserve"/>
      </w:r>
    </w:p>
    <w:p>
      <w:r>
        <w:t xml:space="preserve">Комиссия учитывается в `totalFeesCollected` как публичный lifetime-счетчик и распределяется через механизм `shares` / `claimFees()`.</w:t>
      </w:r>
    </w:p>
    <w:p>
      <w:r>
        <w:t xml:space="preserve"/>
      </w:r>
    </w:p>
    <w:p>
      <w:pPr>
        <w:pStyle w:val="Heading1"/>
      </w:pPr>
      <w:r>
        <w:t xml:space="preserve">6. Возвраты</w:t>
      </w:r>
    </w:p>
    <w:p>
      <w:r>
        <w:t xml:space="preserve"/>
      </w:r>
    </w:p>
    <w:p>
      <w:r>
        <w:t xml:space="preserve">Донор может запросить возврат через `claimRefund(campaignId)`, если:</w:t>
      </w:r>
    </w:p>
    <w:p>
      <w:r>
        <w:t xml:space="preserve"/>
      </w:r>
    </w:p>
    <w:p>
      <w:r>
        <w:t xml:space="preserve">• кампания имеет статус `Cancelled`;</w:t>
      </w:r>
    </w:p>
    <w:p>
      <w:r>
        <w:t xml:space="preserve">• у адреса донора есть ненулевой вклад в этой кампании;</w:t>
      </w:r>
    </w:p>
    <w:p>
      <w:r>
        <w:t xml:space="preserve">• контракт не находится на паузе;</w:t>
      </w:r>
    </w:p>
    <w:p>
      <w:r>
        <w:t xml:space="preserve">• возврат не был получен ранее.</w:t>
      </w:r>
    </w:p>
    <w:p>
      <w:r>
        <w:t xml:space="preserve"/>
      </w:r>
    </w:p>
    <w:p>
      <w:r>
        <w:t xml:space="preserve">Возврат выполняется на тот адрес, который совершил пожертвование. Возврат на другой адрес не производится, если это не предусмотрено контрактом.</w:t>
      </w:r>
    </w:p>
    <w:p>
      <w:r>
        <w:t xml:space="preserve"/>
      </w:r>
    </w:p>
    <w:p>
      <w:pPr>
        <w:pStyle w:val="Heading1"/>
      </w:pPr>
      <w:r>
        <w:t xml:space="preserve">7. Когда возврат невозможен</w:t>
      </w:r>
    </w:p>
    <w:p>
      <w:r>
        <w:t xml:space="preserve"/>
      </w:r>
    </w:p>
    <w:p>
      <w:r>
        <w:t xml:space="preserve">Возврат может быть невозможен, если:</w:t>
      </w:r>
    </w:p>
    <w:p>
      <w:r>
        <w:t xml:space="preserve"/>
      </w:r>
    </w:p>
    <w:p>
      <w:r>
        <w:t xml:space="preserve">• средства уже выведены автором кампании;</w:t>
      </w:r>
    </w:p>
    <w:p>
      <w:r>
        <w:t xml:space="preserve">• кампания не отменена;</w:t>
      </w:r>
    </w:p>
    <w:p>
      <w:r>
        <w:t xml:space="preserve">• пользователь отправил средства не через функцию пожертвования контракта;</w:t>
      </w:r>
    </w:p>
    <w:p>
      <w:r>
        <w:t xml:space="preserve">• пользователь отправил средства на неверный адрес или в неверной сети;</w:t>
      </w:r>
    </w:p>
    <w:p>
      <w:r>
        <w:t xml:space="preserve">• пользователь потерял доступ к кошельку;</w:t>
      </w:r>
    </w:p>
    <w:p>
      <w:r>
        <w:t xml:space="preserve">• возврат запрещен или ограничен законом, санкционными или комплаенс-требованиями;</w:t>
      </w:r>
    </w:p>
    <w:p>
      <w:r>
        <w:t xml:space="preserve">• возврат технически невозможен из-за особенностей блокчейна или смарт-контракта.</w:t>
      </w:r>
    </w:p>
    <w:p>
      <w:r>
        <w:t xml:space="preserve"/>
      </w:r>
    </w:p>
    <w:p>
      <w:pPr>
        <w:pStyle w:val="Heading1"/>
      </w:pPr>
      <w:r>
        <w:t xml:space="preserve">8. Ошибочные переводы</w:t>
      </w:r>
    </w:p>
    <w:p>
      <w:r>
        <w:t xml:space="preserve"/>
      </w:r>
    </w:p>
    <w:p>
      <w:r>
        <w:t xml:space="preserve">Если пользователь отправил средства напрямую на адрес контракта или на иной адрес вне предусмотренного интерфейса и функций контракта, Оператор не гарантирует возможность возврата. Пользователь несет ответственность за проверку адреса, сети и параметров транзакции.</w:t>
      </w:r>
    </w:p>
    <w:p>
      <w:r>
        <w:t xml:space="preserve"/>
      </w:r>
    </w:p>
    <w:p>
      <w:pPr>
        <w:pStyle w:val="Heading1"/>
      </w:pPr>
      <w:r>
        <w:t xml:space="preserve">9. Отчетность кампаний</w:t>
      </w:r>
    </w:p>
    <w:p>
      <w:r>
        <w:t xml:space="preserve"/>
      </w:r>
    </w:p>
    <w:p>
      <w:r>
        <w:t xml:space="preserve">Автор кампании обязан публиковать отчеты об использовании средств, если это указано в описании кампании, требованиях Сервиса или законе. Отчет может включать ссылки, документы, фотографии, transaction hash и иные подтверждения.</w:t>
      </w:r>
    </w:p>
    <w:p>
      <w:r>
        <w:t xml:space="preserve"/>
      </w:r>
    </w:p>
    <w:p>
      <w:r>
        <w:t xml:space="preserve">Оператор может пометить кампанию, ограничить ее отображение или принять иные меры, если отчетность отсутствует, недостоверна или вызывает обоснованные сомнения.</w:t>
      </w:r>
    </w:p>
    <w:p>
      <w:r>
        <w:t xml:space="preserve"/>
      </w:r>
    </w:p>
    <w:p>
      <w:pPr>
        <w:pStyle w:val="Heading1"/>
      </w:pPr>
      <w:r>
        <w:t xml:space="preserve">10. Поддержка</w:t>
      </w:r>
    </w:p>
    <w:p>
      <w:r>
        <w:t xml:space="preserve"/>
      </w:r>
    </w:p>
    <w:p>
      <w:r>
        <w:t xml:space="preserve">По вопросам пожертвований, выводов и возвратов: datio_ETH@proton.me. В обращении укажите сеть, адрес кошелька, ID кампании, transaction hash и описание проблемы.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