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Политика смарт-контракта, долей и комиссии</w:t>
      </w:r>
    </w:p>
    <w:p>
      <w:r>
        <w:t xml:space="preserve"/>
      </w:r>
    </w:p>
    <w:p>
      <w:r>
        <w:t xml:space="preserve">Дата публикации: 14.07.2026</w:t>
      </w:r>
    </w:p>
    <w:p>
      <w:r>
        <w:t xml:space="preserve"/>
      </w:r>
    </w:p>
    <w:p>
      <w:pPr>
        <w:pStyle w:val="Heading1"/>
      </w:pPr>
      <w:r>
        <w:t xml:space="preserve">1. Назначение</w:t>
      </w:r>
    </w:p>
    <w:p>
      <w:r>
        <w:t xml:space="preserve"/>
      </w:r>
    </w:p>
    <w:p>
      <w:r>
        <w:t xml:space="preserve">Этот документ объясняет публичную on-chain логику Сервиса: управление кампаниями, комиссию 1%, доли комиссии и различие между ownership контракта и долями комиссии.</w:t>
      </w:r>
    </w:p>
    <w:p>
      <w:r>
        <w:t xml:space="preserve"/>
      </w:r>
    </w:p>
    <w:p>
      <w:r>
        <w:t xml:space="preserve">Смарт-контракт: 0xB302Ef8aaCC32821AdcfdBFf1442d1c9Eb8bcE9F</w:t>
      </w:r>
    </w:p>
    <w:p>
      <w:r>
        <w:t xml:space="preserve">Сеть: Ethereum (ETH), Chain ID: 1</w:t>
      </w:r>
    </w:p>
    <w:p>
      <w:r>
        <w:t xml:space="preserve">Репозиторий/верификация: https://etherscan.io/address/0xB302Ef8aaCC32821AdcfdBFf1442d1c9Eb8bcE9F</w:t>
      </w:r>
    </w:p>
    <w:p>
      <w:r>
        <w:t xml:space="preserve"/>
      </w:r>
    </w:p>
    <w:p>
      <w:pPr>
        <w:pStyle w:val="Heading1"/>
      </w:pPr>
      <w:r>
        <w:t xml:space="preserve">2. Основные роли</w:t>
      </w:r>
    </w:p>
    <w:p>
      <w:r>
        <w:t xml:space="preserve"/>
      </w:r>
    </w:p>
    <w:p>
      <w:r>
        <w:t xml:space="preserve">• `owner` - адрес, который может выполнять административные функции контракта: пауза, модераторы, конфигурация голосования, приостановка кампаний, передача ownership.</w:t>
      </w:r>
    </w:p>
    <w:p>
      <w:r>
        <w:t xml:space="preserve">• `moderator` - адрес, которому owner выдал право участвовать в проверке кампаний.</w:t>
      </w:r>
    </w:p>
    <w:p>
      <w:r>
        <w:t xml:space="preserve">• `campaign creator` - автор кампании, который создает кампанию и может выводить средства проверенной кампании.</w:t>
      </w:r>
    </w:p>
    <w:p>
      <w:r>
        <w:t xml:space="preserve">• `donor` - адрес, который делает пожертвование.</w:t>
      </w:r>
    </w:p>
    <w:p>
      <w:r>
        <w:t xml:space="preserve">• `share holder` - адрес, владеющий юнитами доли комиссии в `shares(address)`.</w:t>
      </w:r>
    </w:p>
    <w:p>
      <w:r>
        <w:t xml:space="preserve"/>
      </w:r>
    </w:p>
    <w:p>
      <w:pPr>
        <w:pStyle w:val="Heading1"/>
      </w:pPr>
      <w:r>
        <w:t xml:space="preserve">3. Ownership не равен долям комиссии</w:t>
      </w:r>
    </w:p>
    <w:p>
      <w:r>
        <w:t xml:space="preserve"/>
      </w:r>
    </w:p>
    <w:p>
      <w:r>
        <w:t xml:space="preserve">`transferOwnership(address)` меняет owner-адрес контракта. Это административное право и оно не передает доли комиссии.</w:t>
      </w:r>
    </w:p>
    <w:p>
      <w:r>
        <w:t xml:space="preserve"/>
      </w:r>
    </w:p>
    <w:p>
      <w:r>
        <w:t xml:space="preserve">`transferShares(address,uint256)` передает юниты доли комиссии. Это экономическое право на часть комиссии и оно не меняет owner-адрес.</w:t>
      </w:r>
    </w:p>
    <w:p>
      <w:r>
        <w:t xml:space="preserve"/>
      </w:r>
    </w:p>
    <w:p>
      <w:r>
        <w:t xml:space="preserve">Эти механизмы независимы.</w:t>
      </w:r>
    </w:p>
    <w:p>
      <w:r>
        <w:t xml:space="preserve"/>
      </w:r>
    </w:p>
    <w:p>
      <w:pPr>
        <w:pStyle w:val="Heading1"/>
      </w:pPr>
      <w:r>
        <w:t xml:space="preserve">4. Доли комиссии</w:t>
      </w:r>
    </w:p>
    <w:p>
      <w:r>
        <w:t xml:space="preserve"/>
      </w:r>
    </w:p>
    <w:p>
      <w:r>
        <w:t xml:space="preserve">Общее количество юнитов долей: `TOTAL_SHARE_UNITS = 10000`, где 10000 означает 100%.</w:t>
      </w:r>
    </w:p>
    <w:p>
      <w:r>
        <w:t xml:space="preserve"/>
      </w:r>
    </w:p>
    <w:p>
      <w:r>
        <w:t xml:space="preserve">При деплое owner получает все 10000 юнитов. Далее owner может распределить доли через `transferShares(кому, сколько)`. Получатель долей становится полноценным держателем и может передавать свои юниты дальше любому адресу без отдельного разрешения owner.</w:t>
      </w:r>
    </w:p>
    <w:p>
      <w:r>
        <w:t xml:space="preserve"/>
      </w:r>
    </w:p>
    <w:p>
      <w:r>
        <w:t xml:space="preserve">Примеры:</w:t>
      </w:r>
    </w:p>
    <w:p>
      <w:r>
        <w:t xml:space="preserve"/>
      </w:r>
    </w:p>
    <w:p>
      <w:r>
        <w:t xml:space="preserve">• 10000 юнитов = 100%;</w:t>
      </w:r>
    </w:p>
    <w:p>
      <w:r>
        <w:t xml:space="preserve">• 5000 юнитов = 50%;</w:t>
      </w:r>
    </w:p>
    <w:p>
      <w:r>
        <w:t xml:space="preserve">• 1000 юнитов = 10%;</w:t>
      </w:r>
    </w:p>
    <w:p>
      <w:r>
        <w:t xml:space="preserve">• 100 юнитов = 1%;</w:t>
      </w:r>
    </w:p>
    <w:p>
      <w:r>
        <w:t xml:space="preserve">• 1 юнит = 0.01%.</w:t>
      </w:r>
    </w:p>
    <w:p>
      <w:r>
        <w:t xml:space="preserve"/>
      </w:r>
    </w:p>
    <w:p>
      <w:pPr>
        <w:pStyle w:val="Heading1"/>
      </w:pPr>
      <w:r>
        <w:t xml:space="preserve">5. Начисление комиссии</w:t>
      </w:r>
    </w:p>
    <w:p>
      <w:r>
        <w:t xml:space="preserve"/>
      </w:r>
    </w:p>
    <w:p>
      <w:r>
        <w:t xml:space="preserve">При выводе средств автором кампании через `withdraw(campaignId, amount)` удерживается комиссия `FEE_PERCENT = 1`.</w:t>
      </w:r>
    </w:p>
    <w:p>
      <w:r>
        <w:t xml:space="preserve"/>
      </w:r>
    </w:p>
    <w:p>
      <w:r>
        <w:t xml:space="preserve">Комиссия не хранится как баланс одного owner-адреса. Она распределяется между держателями долей пропорционально их `shares`. Контракт ведет учет через `cumulativeFeePerShare` и `rewardDebt`.</w:t>
      </w:r>
    </w:p>
    <w:p>
      <w:r>
        <w:t xml:space="preserve"/>
      </w:r>
    </w:p>
    <w:p>
      <w:r>
        <w:t xml:space="preserve">`totalFeesCollected` является lifetime-счетчиком всех начисленных комиссий и только растет. Он не показывает сумму, доступную конкретному holder для вывода.</w:t>
      </w:r>
    </w:p>
    <w:p>
      <w:r>
        <w:t xml:space="preserve"/>
      </w:r>
    </w:p>
    <w:p>
      <w:pPr>
        <w:pStyle w:val="Heading1"/>
      </w:pPr>
      <w:r>
        <w:t xml:space="preserve">6. Получение комиссии</w:t>
      </w:r>
    </w:p>
    <w:p>
      <w:r>
        <w:t xml:space="preserve"/>
      </w:r>
    </w:p>
    <w:p>
      <w:r>
        <w:t xml:space="preserve">Любой держатель доли может вызвать `claimFees()` и получить свою накопленную часть комиссии. Функция доступна не только owner. Если доля была передана, контракт перед передачей учитывает накопленное для отправителя и получателя.</w:t>
      </w:r>
    </w:p>
    <w:p>
      <w:r>
        <w:t xml:space="preserve"/>
      </w:r>
    </w:p>
    <w:p>
      <w:r>
        <w:t xml:space="preserve">Проверить доступную сумму можно через `pendingFees(address)`.</w:t>
      </w:r>
    </w:p>
    <w:p>
      <w:r>
        <w:t xml:space="preserve"/>
      </w:r>
    </w:p>
    <w:p>
      <w:pPr>
        <w:pStyle w:val="Heading1"/>
      </w:pPr>
      <w:r>
        <w:t xml:space="preserve">7. Передача долей</w:t>
      </w:r>
    </w:p>
    <w:p>
      <w:r>
        <w:t xml:space="preserve"/>
      </w:r>
    </w:p>
    <w:p>
      <w:r>
        <w:t xml:space="preserve">Любой holder может вызвать `transferShares(to, amount)`, если:</w:t>
      </w:r>
    </w:p>
    <w:p>
      <w:r>
        <w:t xml:space="preserve"/>
      </w:r>
    </w:p>
    <w:p>
      <w:r>
        <w:t xml:space="preserve">• `to` не является нулевым адресом;</w:t>
      </w:r>
    </w:p>
    <w:p>
      <w:r>
        <w:t xml:space="preserve">• `amount` больше 0;</w:t>
      </w:r>
    </w:p>
    <w:p>
      <w:r>
        <w:t xml:space="preserve">• у отправителя достаточно юнитов в `shares(msg.sender)`.</w:t>
      </w:r>
    </w:p>
    <w:p>
      <w:r>
        <w:t xml:space="preserve"/>
      </w:r>
    </w:p>
    <w:p>
      <w:r>
        <w:t xml:space="preserve">Перед передачей контракт рассчитывает накопленные комиссии сторон, затем обновляет `shares` и `rewardDebt`.</w:t>
      </w:r>
    </w:p>
    <w:p>
      <w:r>
        <w:t xml:space="preserve"/>
      </w:r>
    </w:p>
    <w:p>
      <w:pPr>
        <w:pStyle w:val="Heading1"/>
      </w:pPr>
      <w:r>
        <w:t xml:space="preserve">8. Ограничения и риски</w:t>
      </w:r>
    </w:p>
    <w:p>
      <w:r>
        <w:t xml:space="preserve"/>
      </w:r>
    </w:p>
    <w:p>
      <w:r>
        <w:t xml:space="preserve">• Передача долей необратима, если получатель не вернет их новой транзакцией.</w:t>
      </w:r>
    </w:p>
    <w:p>
      <w:r>
        <w:t xml:space="preserve">• Ошибка адреса получателя может привести к потере контроля над долями.</w:t>
      </w:r>
    </w:p>
    <w:p>
      <w:r>
        <w:t xml:space="preserve">• Если адрес holder является контрактом, он должен уметь принимать native token сети; иначе claim/settle может завершиться ошибкой.</w:t>
      </w:r>
    </w:p>
    <w:p>
      <w:r>
        <w:t xml:space="preserve">• Доли комиссии не являются ownership контракта, акциями компании или корпоративными правами, если отдельный письменный договор прямо не устанавливает иное.</w:t>
      </w:r>
    </w:p>
    <w:p>
      <w:r>
        <w:t xml:space="preserve">• Налоговые последствия получения комиссии определяются статусом holder и применимым законом.</w:t>
      </w:r>
    </w:p>
    <w:p>
      <w:r>
        <w:t xml:space="preserve"/>
      </w:r>
    </w:p>
    <w:p>
      <w:pPr>
        <w:pStyle w:val="Heading1"/>
      </w:pPr>
      <w:r>
        <w:t xml:space="preserve">9. Пауза и администрирование</w:t>
      </w:r>
    </w:p>
    <w:p>
      <w:r>
        <w:t xml:space="preserve"/>
      </w:r>
    </w:p>
    <w:p>
      <w:r>
        <w:t xml:space="preserve">Owner может поставить контракт на паузу для функций, помеченных `whenNotPaused`. `claimFees()` и `transferShares()` по текущей логике не зависят от паузы, если иное не будет указано в новой версии контракта.</w:t>
      </w:r>
    </w:p>
    <w:p>
      <w:r>
        <w:t xml:space="preserve"/>
      </w:r>
    </w:p>
    <w:p>
      <w:pPr>
        <w:pStyle w:val="Heading1"/>
      </w:pPr>
      <w:r>
        <w:t xml:space="preserve">10. Приоритет кода</w:t>
      </w:r>
    </w:p>
    <w:p>
      <w:r>
        <w:t xml:space="preserve"/>
      </w:r>
    </w:p>
    <w:p>
      <w:r>
        <w:t xml:space="preserve">Пользователь должен самостоятельно проверить исходный код, ABI, адрес и сеть контракта. В случае расхождения описания интерфейса или документа с фактической on-chain логикой уже выполненная транзакция исполняется по коду смарт-контракта.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