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Пользовательское соглашение</w:t>
      </w:r>
    </w:p>
    <w:p>
      <w:r>
        <w:t xml:space="preserve"/>
      </w:r>
    </w:p>
    <w:p>
      <w:r>
        <w:t xml:space="preserve">Дата публикации: 14.07.2026</w:t>
      </w:r>
    </w:p>
    <w:p>
      <w:r>
        <w:t xml:space="preserve">Редакция: 1.0</w:t>
      </w:r>
    </w:p>
    <w:p>
      <w:r>
        <w:t xml:space="preserve"/>
      </w:r>
    </w:p>
    <w:p>
      <w:pPr>
        <w:pStyle w:val="Heading1"/>
      </w:pPr>
      <w:r>
        <w:t xml:space="preserve">1. Стороны и принятие условий</w:t>
      </w:r>
    </w:p>
    <w:p>
      <w:r>
        <w:t xml:space="preserve"/>
      </w:r>
    </w:p>
    <w:p>
      <w:r>
        <w:t xml:space="preserve">Настоящее Пользовательское соглашение (`Соглашение`) регулирует использование сервиса datio, доступного по адресу https://datio.online (`Сервис`). Оператор Сервиса: Kalashnikov Yaroslav Vyacheslavovich, адрес для связи: datio_ETH@proton.me, статус: физическое лицо (`Оператор`).</w:t>
      </w:r>
    </w:p>
    <w:p>
      <w:r>
        <w:t xml:space="preserve"/>
      </w:r>
    </w:p>
    <w:p>
      <w:r>
        <w:t xml:space="preserve">Используя Сервис, подключая кошелек, создавая кампанию, совершая пожертвование, голосуя, модерируя или взаимодействуя со смарт-контрактом через интерфейс Сервиса, пользователь принимает Соглашение.</w:t>
      </w:r>
    </w:p>
    <w:p>
      <w:r>
        <w:t xml:space="preserve"/>
      </w:r>
    </w:p>
    <w:p>
      <w:r>
        <w:t xml:space="preserve">Если пользователь не согласен с условиями, он обязан прекратить использование Сервиса.</w:t>
      </w:r>
    </w:p>
    <w:p>
      <w:r>
        <w:t xml:space="preserve"/>
      </w:r>
    </w:p>
    <w:p>
      <w:pPr>
        <w:pStyle w:val="Heading1"/>
      </w:pPr>
      <w:r>
        <w:t xml:space="preserve">2. Описание Сервиса</w:t>
      </w:r>
    </w:p>
    <w:p>
      <w:r>
        <w:t xml:space="preserve"/>
      </w:r>
    </w:p>
    <w:p>
      <w:r>
        <w:t xml:space="preserve">Сервис предоставляет веб-интерфейс для взаимодействия со смарт-контрактом благотворительных кампаний. Сервис может позволять:</w:t>
      </w:r>
    </w:p>
    <w:p>
      <w:r>
        <w:t xml:space="preserve"/>
      </w:r>
    </w:p>
    <w:p>
      <w:r>
        <w:t xml:space="preserve">• создавать кампании по сбору средств;</w:t>
      </w:r>
    </w:p>
    <w:p>
      <w:r>
        <w:t xml:space="preserve">• размещать описание, материалы и отчеты кампаний;</w:t>
      </w:r>
    </w:p>
    <w:p>
      <w:r>
        <w:t xml:space="preserve">• делать пожертвования в поддерживаемой блокчейн-сети;</w:t>
      </w:r>
    </w:p>
    <w:p>
      <w:r>
        <w:t xml:space="preserve">• голосовать за проверку кампаний;</w:t>
      </w:r>
    </w:p>
    <w:p>
      <w:r>
        <w:t xml:space="preserve">• модерировать кампании;</w:t>
      </w:r>
    </w:p>
    <w:p>
      <w:r>
        <w:t xml:space="preserve">• выводить средства кампаний их создателями после выполнения условий контракта;</w:t>
      </w:r>
    </w:p>
    <w:p>
      <w:r>
        <w:t xml:space="preserve">• получать возврат по отмененным кампаниям, если это предусмотрено контрактом;</w:t>
      </w:r>
    </w:p>
    <w:p>
      <w:r>
        <w:t xml:space="preserve">• держателям долей комиссии получать свою часть комиссии через `claimFees()`;</w:t>
      </w:r>
    </w:p>
    <w:p>
      <w:r>
        <w:t xml:space="preserve">• передавать доли комиссии другим адресам через `transferShares(address,uint256)`.</w:t>
      </w:r>
    </w:p>
    <w:p>
      <w:r>
        <w:t xml:space="preserve"/>
      </w:r>
    </w:p>
    <w:p>
      <w:pPr>
        <w:pStyle w:val="Heading1"/>
      </w:pPr>
      <w:r>
        <w:t xml:space="preserve">3. Web3-риски</w:t>
      </w:r>
    </w:p>
    <w:p>
      <w:r>
        <w:t xml:space="preserve"/>
      </w:r>
    </w:p>
    <w:p>
      <w:r>
        <w:t xml:space="preserve">Пользователь понимает и принимает, что:</w:t>
      </w:r>
    </w:p>
    <w:p>
      <w:r>
        <w:t xml:space="preserve"/>
      </w:r>
    </w:p>
    <w:p>
      <w:r>
        <w:t xml:space="preserve">• блокчейн-транзакции обычно необратимы;</w:t>
      </w:r>
    </w:p>
    <w:p>
      <w:r>
        <w:t xml:space="preserve">• ошибки адреса, сети, суммы или параметров транзакции могут привести к безвозвратной потере средств;</w:t>
      </w:r>
    </w:p>
    <w:p>
      <w:r>
        <w:t xml:space="preserve">• комиссии сети, задержки, форки, сбои RPC, кошельков и сторонней инфраструктуры не контролируются Оператором;</w:t>
      </w:r>
    </w:p>
    <w:p>
      <w:r>
        <w:t xml:space="preserve">• публичный адрес кошелька и история транзакций могут быть доступны всем;</w:t>
      </w:r>
    </w:p>
    <w:p>
      <w:r>
        <w:t xml:space="preserve">• стоимость криптоактивов может изменяться;</w:t>
      </w:r>
    </w:p>
    <w:p>
      <w:r>
        <w:t xml:space="preserve">• смарт-контракты могут содержать уязвимости, несмотря на тестирование и аудит;</w:t>
      </w:r>
    </w:p>
    <w:p>
      <w:r>
        <w:t xml:space="preserve">• пользователь самостоятельно отвечает за приватные ключи, seed-фразы, устройства и безопасность кошелька.</w:t>
      </w:r>
    </w:p>
    <w:p>
      <w:r>
        <w:t xml:space="preserve"/>
      </w:r>
    </w:p>
    <w:p>
      <w:pPr>
        <w:pStyle w:val="Heading1"/>
      </w:pPr>
      <w:r>
        <w:t xml:space="preserve">4. Регистрация и кошелек</w:t>
      </w:r>
    </w:p>
    <w:p>
      <w:r>
        <w:t xml:space="preserve"/>
      </w:r>
    </w:p>
    <w:p>
      <w:r>
        <w:t xml:space="preserve">Для части функций может требоваться Web3-кошелек. Оператор не хранит приватные ключи и не имеет доступа к средствам пользователя вне логики смарт-контракта. Подписание транзакции пользователем означает намерение совершить соответствующее on-chain действие.</w:t>
      </w:r>
    </w:p>
    <w:p>
      <w:r>
        <w:t xml:space="preserve"/>
      </w:r>
    </w:p>
    <w:p>
      <w:pPr>
        <w:pStyle w:val="Heading1"/>
      </w:pPr>
      <w:r>
        <w:t xml:space="preserve">5. Кампании</w:t>
      </w:r>
    </w:p>
    <w:p>
      <w:r>
        <w:t xml:space="preserve"/>
      </w:r>
    </w:p>
    <w:p>
      <w:r>
        <w:t xml:space="preserve">Автор кампании обязан предоставлять достоверную, полную и законную информацию о целях сбора, получателях, предполагаемом использовании средств и отчетности.</w:t>
      </w:r>
    </w:p>
    <w:p>
      <w:r>
        <w:t xml:space="preserve"/>
      </w:r>
    </w:p>
    <w:p>
      <w:r>
        <w:t xml:space="preserve">Запрещены кампании, связанные с:</w:t>
      </w:r>
    </w:p>
    <w:p>
      <w:r>
        <w:t xml:space="preserve"/>
      </w:r>
    </w:p>
    <w:p>
      <w:r>
        <w:t xml:space="preserve">• незаконной деятельностью;</w:t>
      </w:r>
    </w:p>
    <w:p>
      <w:r>
        <w:t xml:space="preserve">• финансированием терроризма, экстремизма, санкционных лиц или запрещенных организаций;</w:t>
      </w:r>
    </w:p>
    <w:p>
      <w:r>
        <w:t xml:space="preserve">• мошенничеством, введением в заблуждение или присвоением средств;</w:t>
      </w:r>
    </w:p>
    <w:p>
      <w:r>
        <w:t xml:space="preserve">• товарами и услугами, запрещенными законом;</w:t>
      </w:r>
    </w:p>
    <w:p>
      <w:r>
        <w:t xml:space="preserve">• нарушением прав третьих лиц;</w:t>
      </w:r>
    </w:p>
    <w:p>
      <w:r>
        <w:t xml:space="preserve">• дискриминацией, насилием, эксплуатацией людей или животных вне законных благотворительных целей.</w:t>
      </w:r>
    </w:p>
    <w:p>
      <w:r>
        <w:t xml:space="preserve"/>
      </w:r>
    </w:p>
    <w:p>
      <w:r>
        <w:t xml:space="preserve">Оператор вправе скрыть, пометить, приостановить или инициировать отмену кампании в рамках доступных технических и контрактных механизмов, если есть признаки нарушения Соглашения, закона или рисков для пользователей.</w:t>
      </w:r>
    </w:p>
    <w:p>
      <w:r>
        <w:t xml:space="preserve"/>
      </w:r>
    </w:p>
    <w:p>
      <w:pPr>
        <w:pStyle w:val="Heading1"/>
      </w:pPr>
      <w:r>
        <w:t xml:space="preserve">6. Модерация и проверка</w:t>
      </w:r>
    </w:p>
    <w:p>
      <w:r>
        <w:t xml:space="preserve"/>
      </w:r>
    </w:p>
    <w:p>
      <w:r>
        <w:t xml:space="preserve">Проверка кампаний может выполняться owner-адресом, модераторами и/или community voting согласно логике смарт-контракта. Проверка не является гарантией достижения цели, законности всех действий автора, качества отчетности или возврата средств.</w:t>
      </w:r>
    </w:p>
    <w:p>
      <w:r>
        <w:t xml:space="preserve"/>
      </w:r>
    </w:p>
    <w:p>
      <w:r>
        <w:t xml:space="preserve">Модераторы обязаны действовать добросовестно, независимо и в интересах пользователей Сервиса.</w:t>
      </w:r>
    </w:p>
    <w:p>
      <w:r>
        <w:t xml:space="preserve"/>
      </w:r>
    </w:p>
    <w:p>
      <w:pPr>
        <w:pStyle w:val="Heading1"/>
      </w:pPr>
      <w:r>
        <w:t xml:space="preserve">7. Пожертвования</w:t>
      </w:r>
    </w:p>
    <w:p>
      <w:r>
        <w:t xml:space="preserve"/>
      </w:r>
    </w:p>
    <w:p>
      <w:r>
        <w:t xml:space="preserve">Пожертвование является добровольным переводом средств в выбранную кампанию через смарт-контракт. Перед подтверждением транзакции пользователь обязан проверить кампанию, сеть, адрес контракта, сумму и условия.</w:t>
      </w:r>
    </w:p>
    <w:p>
      <w:r>
        <w:t xml:space="preserve"/>
      </w:r>
    </w:p>
    <w:p>
      <w:r>
        <w:t xml:space="preserve">Средства кампании могут быть выведены автором только в порядке, предусмотренном смарт-контрактом. При выводе удерживается комиссия Сервиса в размере 1%, если иное не указано в интерфейсе или контракте.</w:t>
      </w:r>
    </w:p>
    <w:p>
      <w:r>
        <w:t xml:space="preserve"/>
      </w:r>
    </w:p>
    <w:p>
      <w:pPr>
        <w:pStyle w:val="Heading1"/>
      </w:pPr>
      <w:r>
        <w:t xml:space="preserve">8. Комиссия и доли</w:t>
      </w:r>
    </w:p>
    <w:p>
      <w:r>
        <w:t xml:space="preserve"/>
      </w:r>
    </w:p>
    <w:p>
      <w:r>
        <w:t xml:space="preserve">Комиссия Сервиса распределяется между держателями долей (`shares`) по правилам смарт-контракта. Owner при деплое получает 10000 юнитов долей, что соответствует 100%. Держатель доли может передать часть своих юнитов другому адресу через `transferShares(address,uint256)`. Новый держатель может дальше передавать полученные доли без отдельного разрешения owner.</w:t>
      </w:r>
    </w:p>
    <w:p>
      <w:r>
        <w:t xml:space="preserve"/>
      </w:r>
    </w:p>
    <w:p>
      <w:r>
        <w:t xml:space="preserve">Держатель доли может забрать накопленную часть комиссии через `claimFees()`. Ownership контракта и доли комиссии являются разными механизмами: `transferOwnership(address)` меняет owner-адрес контракта и не передает доли комиссии; `transferShares(address,uint256)` передает доли комиссии и не меняет owner-адрес.</w:t>
      </w:r>
    </w:p>
    <w:p>
      <w:r>
        <w:t xml:space="preserve"/>
      </w:r>
    </w:p>
    <w:p>
      <w:pPr>
        <w:pStyle w:val="Heading1"/>
      </w:pPr>
      <w:r>
        <w:t xml:space="preserve">9. Возвраты</w:t>
      </w:r>
    </w:p>
    <w:p>
      <w:r>
        <w:t xml:space="preserve"/>
      </w:r>
    </w:p>
    <w:p>
      <w:r>
        <w:t xml:space="preserve">Возвраты возможны только в случаях и порядке, предусмотренных смарт-контрактом и политикой `donation_and_refund_policy.md`. Оператор не может гарантировать возврат средств, если транзакция была выполнена в неверной сети, на неверный адрес, напрямую вне контракта или если возврат технически невозможен.</w:t>
      </w:r>
    </w:p>
    <w:p>
      <w:r>
        <w:t xml:space="preserve"/>
      </w:r>
    </w:p>
    <w:p>
      <w:pPr>
        <w:pStyle w:val="Heading1"/>
      </w:pPr>
      <w:r>
        <w:t xml:space="preserve">10. Запрещенное использование</w:t>
      </w:r>
    </w:p>
    <w:p>
      <w:r>
        <w:t xml:space="preserve"/>
      </w:r>
    </w:p>
    <w:p>
      <w:r>
        <w:t xml:space="preserve">Пользователь не вправе:</w:t>
      </w:r>
    </w:p>
    <w:p>
      <w:r>
        <w:t xml:space="preserve"/>
      </w:r>
    </w:p>
    <w:p>
      <w:r>
        <w:t xml:space="preserve">• нарушать закон или права третьих лиц;</w:t>
      </w:r>
    </w:p>
    <w:p>
      <w:r>
        <w:t xml:space="preserve">• обходить ограничения Сервиса;</w:t>
      </w:r>
    </w:p>
    <w:p>
      <w:r>
        <w:t xml:space="preserve">• атаковать интерфейс, смарт-контракт, RPC или инфраструктуру;</w:t>
      </w:r>
    </w:p>
    <w:p>
      <w:r>
        <w:t xml:space="preserve">• использовать Сервис для отмывания средств, обхода санкций или финансирования запрещенной деятельности;</w:t>
      </w:r>
    </w:p>
    <w:p>
      <w:r>
        <w:t xml:space="preserve">• публиковать ложную, вредоносную, незаконную или вводящую в заблуждение информацию;</w:t>
      </w:r>
    </w:p>
    <w:p>
      <w:r>
        <w:t xml:space="preserve">• выдавать себя за другое лицо;</w:t>
      </w:r>
    </w:p>
    <w:p>
      <w:r>
        <w:t xml:space="preserve">• пытаться получить доступ к чужим аккаунтам, кошелькам или данным.</w:t>
      </w:r>
    </w:p>
    <w:p>
      <w:r>
        <w:t xml:space="preserve"/>
      </w:r>
    </w:p>
    <w:p>
      <w:pPr>
        <w:pStyle w:val="Heading1"/>
      </w:pPr>
      <w:r>
        <w:t xml:space="preserve">11. Интеллектуальная собственность</w:t>
      </w:r>
    </w:p>
    <w:p>
      <w:r>
        <w:t xml:space="preserve"/>
      </w:r>
    </w:p>
    <w:p>
      <w:r>
        <w:t xml:space="preserve">Интерфейс, дизайн, тексты, логотипы, код и иные материалы Сервиса принадлежат Оператору или используются на законном основании, если не указано иное. Пользовательские материалы остаются у пользователя или правообладателя, но пользователь предоставляет Оператору право использовать их для работы, продвижения, модерации и архивирования Сервиса.</w:t>
      </w:r>
    </w:p>
    <w:p>
      <w:r>
        <w:t xml:space="preserve"/>
      </w:r>
    </w:p>
    <w:p>
      <w:pPr>
        <w:pStyle w:val="Heading1"/>
      </w:pPr>
      <w:r>
        <w:t xml:space="preserve">12. Ответственность</w:t>
      </w:r>
    </w:p>
    <w:p>
      <w:r>
        <w:t xml:space="preserve"/>
      </w:r>
    </w:p>
    <w:p>
      <w:r>
        <w:t xml:space="preserve">Сервис предоставляется `как есть` и `как доступен`. Оператор не гарантирует бесперебойную работу, отсутствие ошибок, достижение целей кампаний, добросовестность авторов кампаний или отсутствие потерь, связанных с блокчейн-рисками.</w:t>
      </w:r>
    </w:p>
    <w:p>
      <w:r>
        <w:t xml:space="preserve"/>
      </w:r>
    </w:p>
    <w:p>
      <w:r>
        <w:t xml:space="preserve">В пределах, разрешенных законом, Оператор не отвечает за косвенные убытки, упущенную выгоду, потерю данных, потерю доступа к кошельку, ошибки пользователя, действия третьих лиц, сбои сетей, кошельков, RPC, бирж, мостов и иных внешних сервисов.</w:t>
      </w:r>
    </w:p>
    <w:p>
      <w:r>
        <w:t xml:space="preserve"/>
      </w:r>
    </w:p>
    <w:p>
      <w:pPr>
        <w:pStyle w:val="Heading1"/>
      </w:pPr>
      <w:r>
        <w:t xml:space="preserve">13. Приостановка доступа</w:t>
      </w:r>
    </w:p>
    <w:p>
      <w:r>
        <w:t xml:space="preserve"/>
      </w:r>
    </w:p>
    <w:p>
      <w:r>
        <w:t xml:space="preserve">Оператор вправе ограничить доступ к интерфейсу, скрыть материалы или отказать в обслуживании при нарушении Соглашения, требованиях закона, санкционных рисках, угрозах безопасности или злоупотреблениях. On-chain данные и автономные функции контракта могут оставаться доступными вне интерфейса Сервиса.</w:t>
      </w:r>
    </w:p>
    <w:p>
      <w:r>
        <w:t xml:space="preserve"/>
      </w:r>
    </w:p>
    <w:p>
      <w:pPr>
        <w:pStyle w:val="Heading1"/>
      </w:pPr>
      <w:r>
        <w:t xml:space="preserve">14. Изменение условий</w:t>
      </w:r>
    </w:p>
    <w:p>
      <w:r>
        <w:t xml:space="preserve"/>
      </w:r>
    </w:p>
    <w:p>
      <w:r>
        <w:t xml:space="preserve">Оператор может изменять Соглашение. Новая редакция применяется с момента публикации, если не указано иное. Продолжение использования Сервиса означает согласие с новой редакцией.</w:t>
      </w:r>
    </w:p>
    <w:p>
      <w:r>
        <w:t xml:space="preserve"/>
      </w:r>
    </w:p>
    <w:p>
      <w:pPr>
        <w:pStyle w:val="Heading1"/>
      </w:pPr>
      <w:r>
        <w:t xml:space="preserve">15. Применимое право и споры</w:t>
      </w:r>
    </w:p>
    <w:p>
      <w:r>
        <w:t xml:space="preserve"/>
      </w:r>
    </w:p>
    <w:p>
      <w:r>
        <w:t xml:space="preserve">Соглашение регулируется применимым правом по месту постоянного проживания Оператора, если обязательные нормы закона не предусматривают иное. Стороны обязуются сначала попытаться урегулировать спор путем переписки на контактный email Оператора.</w:t>
      </w:r>
    </w:p>
    <w:p>
      <w:r>
        <w:t xml:space="preserve"/>
      </w:r>
    </w:p>
    <w:p>
      <w:pPr>
        <w:pStyle w:val="Heading1"/>
      </w:pPr>
      <w:r>
        <w:t xml:space="preserve">16. Контакты</w:t>
      </w:r>
    </w:p>
    <w:p>
      <w:r>
        <w:t xml:space="preserve"/>
      </w:r>
    </w:p>
    <w:p>
      <w:r>
        <w:t xml:space="preserve">Kalashnikov Yaroslav Vyacheslavovich</w:t>
      </w:r>
    </w:p>
    <w:p>
      <w:r>
        <w:t xml:space="preserve">datio_ETH@proton.me</w:t>
      </w:r>
    </w:p>
    <w:p>
      <w:r>
        <w:t xml:space="preserve">Статус: физическое лицо</w:t>
      </w:r>
    </w:p>
    <w:p>
      <w:r>
        <w:t xml:space="preserve">datio_ETH@proton.me</w:t>
      </w:r>
    </w:p>
    <w:p>
      <w:r>
        <w:t xml:space="preserve">https://datio.online</w:t>
      </w:r>
    </w:p>
    <w:p>
      <w:r>
        <w:t xml:space="preserve"/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0"/>
    </w:rPr>
  </w:style>
  <w:style w:type="paragraph" w:styleId="Heading1">
    <w:name w:val="heading 1"/>
    <w:rPr>
      <w:b/>
      <w:sz w:val="32"/>
    </w:rPr>
  </w:style>
  <w:style w:type="paragraph" w:styleId="Heading2">
    <w:name w:val="heading 2"/>
    <w:rPr>
      <w:b/>
      <w:sz w:val="28"/>
    </w:rPr>
  </w:style>
</w:styles>
</file>